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3.png" ContentType="image/png"/>
  <Override PartName="/word/media/rId27.png" ContentType="image/png"/>
  <Override PartName="/word/media/rId35.png" ContentType="image/png"/>
  <Override PartName="/word/media/rId36.png" ContentType="image/png"/>
  <Override PartName="/word/media/rId34.png" ContentType="image/png"/>
  <Override PartName="/word/media/rId37.png" ContentType="image/png"/>
  <Override PartName="/word/media/rId31.png" ContentType="image/png"/>
  <Override PartName="/word/media/rId40.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2016-08-03</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at many archaeological sites depend on a close stratigraphic assocation between culturally modified materials and dated materials. This has been a central concern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understanidng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paramteters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the spoil heaps that held archaeological sediment removed during the 2012 excavations at Madjebebe.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Madjebebe is a sandstone rockshelter at the edge of the Magella floodplain in the Northern Territory, Australia. Archaeological excavations were conducted at Madjebebe in 1973</w:t>
      </w:r>
      <w:r>
        <w:t xml:space="preserve"> </w:t>
      </w:r>
      <w:r>
        <w:t xml:space="preserve">(Kamminga, Allen, and Study 1973)</w:t>
      </w:r>
      <w:r>
        <w:t xml:space="preserve">, 1989</w:t>
      </w:r>
      <w:r>
        <w:t xml:space="preserve"> </w:t>
      </w:r>
      <w:r>
        <w:t xml:space="preserve">(R. G. Roberts, Jones, and Smith 1990; Clarkson et al. 2015)</w:t>
      </w:r>
      <w:r>
        <w:t xml:space="preserve">, 2012 and 2015. The 1989 excavation produced Thermoluminescence (TL) and Optically Stimulated Luminescence (OSL) ages of 52</w:t>
      </w:r>
      <w:r>
        <w:t xml:space="preserve"> </w:t>
      </w:r>
      <m:oMath>
        <m:r>
          <m:rPr/>
          <m:t>±</m:t>
        </m:r>
      </m:oMath>
      <w:r>
        <w:t xml:space="preserve"> </w:t>
      </w:r>
      <w:r>
        <w:t xml:space="preserve">11 and 61</w:t>
      </w:r>
      <w:r>
        <w:t xml:space="preserve"> </w:t>
      </w:r>
      <m:oMath>
        <m:r>
          <m:rPr/>
          <m:t>±</m:t>
        </m:r>
      </m:oMath>
      <w:r>
        <w:t xml:space="preserve"> </w:t>
      </w:r>
      <w:r>
        <w:t xml:space="preserve">13 ka associated with the lowest artefacts in the deposit</w:t>
      </w:r>
      <w:r>
        <w:t xml:space="preserve"> </w:t>
      </w:r>
      <w:r>
        <w:t xml:space="preserve">(R. G. Roberts, Jones, and Smith 1990)</w:t>
      </w:r>
      <w:r>
        <w:t xml:space="preserve">. The nearby site of Nauwalabila returned similar OSL ages, bracketing the ages of the lowest artefacts at between 53</w:t>
      </w:r>
      <w:r>
        <w:t xml:space="preserve"> </w:t>
      </w:r>
      <m:oMath>
        <m:r>
          <m:rPr/>
          <m:t>±</m:t>
        </m:r>
      </m:oMath>
      <w:r>
        <w:t xml:space="preserve"> </w:t>
      </w:r>
      <w:r>
        <w:t xml:space="preserve">5 and 60.3</w:t>
      </w:r>
      <w:r>
        <w:t xml:space="preserve"> </w:t>
      </w:r>
      <m:oMath>
        <m:r>
          <m:rP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in the range of 20-40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4587290" cy="3669832"/>
            <wp:effectExtent b="0" l="0" r="0" t="0"/>
            <wp:docPr descr="Figure 1: Zingg Diagram classifying the shape of the experimental artefacts"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 Zingg Diagram classifying the shape of the experimental artefacts</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centimenters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4587290" cy="3669832"/>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1"/>
      </w:pPr>
      <w:bookmarkStart w:id="32" w:name="results"/>
      <w:bookmarkEnd w:id="32"/>
      <w:r>
        <w:t xml:space="preserve">Results</w:t>
      </w:r>
    </w:p>
    <w:p>
      <w:pPr>
        <w:pStyle w:val="FirstParagraph"/>
      </w:pPr>
      <w:r>
        <w:t xml:space="preserve">We have archived the data resulting from the experiment at XXXXX 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5504749" cy="16514247"/>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3"/>
                    <a:stretch>
                      <a:fillRect/>
                    </a:stretch>
                  </pic:blipFill>
                  <pic:spPr bwMode="auto">
                    <a:xfrm>
                      <a:off x="0" y="0"/>
                      <a:ext cx="5504749" cy="16514247"/>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w:t>
      </w:r>
    </w:p>
    <w:p>
      <w:pPr>
        <w:pStyle w:val="FigureWithCaption"/>
      </w:pPr>
      <w:r>
        <w:drawing>
          <wp:inline>
            <wp:extent cx="4587290" cy="3669832"/>
            <wp:effectExtent b="0" l="0" r="0" t="0"/>
            <wp:docPr descr="Figure 8: Linear models for a variety of predictors of the direction of horizontal displacement after fifteen minutes of trampling. None of the models have p &lt; 0.05. Positive estimate values indicate positive correlations." id="1" name="Picture"/>
            <a:graphic>
              <a:graphicData uri="http://schemas.openxmlformats.org/drawingml/2006/picture">
                <pic:pic>
                  <pic:nvPicPr>
                    <pic:cNvPr descr="Marwick_Hayes_et_al_files/figure-docx/hordirectionsmodel-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displacement after fifteen minutes of trampling. None of the models have p &lt; 0.05. Positive estimate values indicate positive correlations.</w:t>
      </w:r>
    </w:p>
    <w:p>
      <w:pPr>
        <w:pStyle w:val="FigureWithCaption"/>
      </w:pPr>
      <w:r>
        <w:drawing>
          <wp:inline>
            <wp:extent cx="4587290" cy="3669832"/>
            <wp:effectExtent b="0" l="0" r="0" t="0"/>
            <wp:docPr descr="Figure 9: Linear models for a variety of predictors of horizont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Linear models for a variety of predictors of horizontal displacement after fifteen minutes of trampling. Hollow data points indicate p &lt; 0.05. Positive estimate values indicate positive correlations.</w:t>
      </w:r>
    </w:p>
    <w:p>
      <w:pPr>
        <w:pStyle w:val="Heading2"/>
      </w:pPr>
      <w:bookmarkStart w:id="38" w:name="horizonal-displacement"/>
      <w:bookmarkEnd w:id="38"/>
      <w:r>
        <w:t xml:space="preserve">Horizonal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angle at each move, and one returning almost exactly to its start position. Figure</w:t>
      </w:r>
      <w:r>
        <w:t xml:space="preserve"> </w:t>
      </w:r>
      <w:r>
        <w:t xml:space="preserve">7</w:t>
      </w:r>
      <w:r>
        <w:t xml:space="preserve"> </w:t>
      </w:r>
      <w:r>
        <w:t xml:space="preserve">shows that after fifteen minutes, most artefacts have are in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dsiplacements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equidimensional, they tend to be moved horizontally further by trampling.</w:t>
      </w:r>
    </w:p>
    <w:p>
      <w:pPr>
        <w:pStyle w:val="Heading2"/>
      </w:pPr>
      <w:bookmarkStart w:id="39" w:name="vertical-displacement"/>
      <w:bookmarkEnd w:id="39"/>
      <w:r>
        <w:t xml:space="preserve">Vertical displacement</w:t>
      </w:r>
    </w:p>
    <w:p>
      <w:pPr>
        <w:pStyle w:val="FigureWithCaption"/>
      </w:pPr>
      <w:r>
        <w:drawing>
          <wp:inline>
            <wp:extent cx="4587290" cy="3669832"/>
            <wp:effectExtent b="0" l="0" r="0" t="0"/>
            <wp:docPr descr="Figure 10: Distributions of vertical displacements of artefacts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Distributions of vertical displacements of artefacts after 5, 10 and 15 minutes of trampling. Negative values indicate that the artefact is below its starting location.</w:t>
      </w:r>
    </w:p>
    <w:p>
      <w:pPr>
        <w:pStyle w:val="SourceCode"/>
      </w:pPr>
      <w:r>
        <w:rPr>
          <w:rStyle w:val="VerbatimChar"/>
        </w:rPr>
        <w:t xml:space="preserve">## # A tibble: 3 x 5</w:t>
      </w:r>
      <w:r>
        <w:br w:type="textWrapping"/>
      </w:r>
      <w:r>
        <w:rPr>
          <w:rStyle w:val="VerbatimChar"/>
        </w:rPr>
        <w:t xml:space="preserve">##       ind ver_min ver_max ver_median ver_mad</w:t>
      </w:r>
      <w:r>
        <w:br w:type="textWrapping"/>
      </w:r>
      <w:r>
        <w:rPr>
          <w:rStyle w:val="VerbatimChar"/>
        </w:rPr>
        <w:t xml:space="preserve">##    &lt;fctr&gt;   &lt;dbl&gt;   &lt;dbl&gt;      &lt;dbl&gt;   &lt;dbl&gt;</w:t>
      </w:r>
      <w:r>
        <w:br w:type="textWrapping"/>
      </w:r>
      <w:r>
        <w:rPr>
          <w:rStyle w:val="VerbatimChar"/>
        </w:rPr>
        <w:t xml:space="preserve">## 1    five  -0.043   0.028      0.000   0.009</w:t>
      </w:r>
      <w:r>
        <w:br w:type="textWrapping"/>
      </w:r>
      <w:r>
        <w:rPr>
          <w:rStyle w:val="VerbatimChar"/>
        </w:rPr>
        <w:t xml:space="preserve">## 2     ten  -0.237   0.271      0.000   0.033</w:t>
      </w:r>
      <w:r>
        <w:br w:type="textWrapping"/>
      </w:r>
      <w:r>
        <w:rPr>
          <w:rStyle w:val="VerbatimChar"/>
        </w:rPr>
        <w:t xml:space="preserve">## 3 fifteen  -0.056   0.051     -0.005   0.022</w:t>
      </w:r>
    </w:p>
    <w:p>
      <w:pPr>
        <w:pStyle w:val="Heading2"/>
      </w:pPr>
      <w:bookmarkStart w:id="41" w:name="inclination"/>
      <w:bookmarkEnd w:id="41"/>
      <w:r>
        <w:t xml:space="preserve">Inclination</w:t>
      </w:r>
    </w:p>
    <w:p>
      <w:pPr>
        <w:pStyle w:val="FirstParagraph"/>
      </w:pPr>
      <w:r>
        <w:t xml:space="preserve">Discussion and Conclusion</w:t>
      </w:r>
    </w:p>
    <w:p>
      <w:pPr>
        <w:pStyle w:val="BodyText"/>
      </w:pPr>
      <w:r>
        <w:t xml:space="preserve">References</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42">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43">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44">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45">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Wiley Online Library: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46">
        <w:r>
          <w:rPr>
            <w:rStyle w:val="Hyperlink"/>
          </w:rPr>
          <w:t xml:space="preserve">http://dx.doi.org/10.1016/j.jhevol.2015.03.014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47">
        <w:r>
          <w:rPr>
            <w:rStyle w:val="Hyperlink"/>
          </w:rPr>
          <w:t xml:space="preserve">http://www.jstor.org/stable/280169</w:t>
        </w:r>
      </w:hyperlink>
      <w:r>
        <w:t xml:space="preserve">.</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Elsevier: 3010–21.</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48">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49">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50">
        <w:r>
          <w:rPr>
            <w:rStyle w:val="Hyperlink"/>
          </w:rPr>
          <w:t xml:space="preserve">10.1007/s10816-015-9272-9</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51">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52">
        <w:r>
          <w:rPr>
            <w:rStyle w:val="Hyperlink"/>
          </w:rPr>
          <w:t xml:space="preserve">10.2110/jsr.2005.079</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53">
        <w:r>
          <w:rPr>
            <w:rStyle w:val="Hyperlink"/>
          </w:rPr>
          <w:t xml:space="preserve">http://www.sciencedirect.com/science/article/B6VBC-4876F0J-7G/2/515ddab0f440a1187afe34a0747c359e</w:t>
        </w:r>
      </w:hyperlink>
      <w:r>
        <w:t xml:space="preserve">.</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54">
        <w:r>
          <w:rPr>
            <w:rStyle w:val="Hyperlink"/>
          </w:rPr>
          <w:t xml:space="preserve">http://jsedres.sepmonline.org/content/62/3/536.short</w:t>
        </w:r>
      </w:hyperlink>
      <w:r>
        <w:t xml:space="preserve">.</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944c44a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hyperlink" Id="rId54" Target="http://jsedres.sepmonline.org/content/62/3/536.short" TargetMode="External" /><Relationship Type="http://schemas.openxmlformats.org/officeDocument/2006/relationships/hyperlink" Id="rId44" Target="http://jsedres.sepmonline.org/content/62/6/1147.short" TargetMode="External" /><Relationship Type="http://schemas.openxmlformats.org/officeDocument/2006/relationships/hyperlink" Id="rId42" Target="http://search.informit.com.au/fullText;res=APAFT;dn=200407738 " TargetMode="External" /><Relationship Type="http://schemas.openxmlformats.org/officeDocument/2006/relationships/hyperlink" Id="rId47" Target="http://www.jstor.org/stable/280169" TargetMode="External" /><Relationship Type="http://schemas.openxmlformats.org/officeDocument/2006/relationships/hyperlink" Id="rId51" Target="http://www.jstor.org/stable/280897" TargetMode="External" /><Relationship Type="http://schemas.openxmlformats.org/officeDocument/2006/relationships/hyperlink" Id="rId53" Target="http://www.sciencedirect.com/science/article/B6VBC-4876F0J-7G/2/515ddab0f440a1187afe34a0747c359e " TargetMode="External" /><Relationship Type="http://schemas.openxmlformats.org/officeDocument/2006/relationships/hyperlink" Id="rId50" Target="https://doi.org/10.1007/s10816-015-9272-9" TargetMode="External" /><Relationship Type="http://schemas.openxmlformats.org/officeDocument/2006/relationships/hyperlink" Id="rId52" Target="https://doi.org/10.2110/jsr.2005.079" TargetMode="External" /><Relationship Type="http://schemas.openxmlformats.org/officeDocument/2006/relationships/hyperlink" Id="rId45" Target="https://doi.org/http://dx.doi.org/10.1016/S0277-3791(01)00058-0" TargetMode="External" /><Relationship Type="http://schemas.openxmlformats.org/officeDocument/2006/relationships/hyperlink" Id="rId49" Target="https://doi.org/http://dx.doi.org/10.1016/j.jas.2005.10.014" TargetMode="External" /><Relationship Type="http://schemas.openxmlformats.org/officeDocument/2006/relationships/hyperlink" Id="rId48" Target="https://doi.org/http://dx.doi.org/10.1016/j.jas.2008.06.011" TargetMode="External" /><Relationship Type="http://schemas.openxmlformats.org/officeDocument/2006/relationships/hyperlink" Id="rId43" Target="https://doi.org/http://dx.doi.org/10.1016/j.jas.2011.08.036" TargetMode="External" /><Relationship Type="http://schemas.openxmlformats.org/officeDocument/2006/relationships/hyperlink" Id="rId46" Target="https://doi.org/http://dx.doi.org/10.1016/j.jhevol.2015.03.014" TargetMode="External" /></Relationships>
</file>

<file path=word/_rels/footnotes.xml.rels><?xml version="1.0" encoding="UTF-8"?>
<Relationships xmlns="http://schemas.openxmlformats.org/package/2006/relationships"><Relationship Type="http://schemas.openxmlformats.org/officeDocument/2006/relationships/hyperlink" Id="rId54" Target="http://jsedres.sepmonline.org/content/62/3/536.short" TargetMode="External" /><Relationship Type="http://schemas.openxmlformats.org/officeDocument/2006/relationships/hyperlink" Id="rId44" Target="http://jsedres.sepmonline.org/content/62/6/1147.short" TargetMode="External" /><Relationship Type="http://schemas.openxmlformats.org/officeDocument/2006/relationships/hyperlink" Id="rId42" Target="http://search.informit.com.au/fullText;res=APAFT;dn=200407738 " TargetMode="External" /><Relationship Type="http://schemas.openxmlformats.org/officeDocument/2006/relationships/hyperlink" Id="rId47" Target="http://www.jstor.org/stable/280169" TargetMode="External" /><Relationship Type="http://schemas.openxmlformats.org/officeDocument/2006/relationships/hyperlink" Id="rId51" Target="http://www.jstor.org/stable/280897" TargetMode="External" /><Relationship Type="http://schemas.openxmlformats.org/officeDocument/2006/relationships/hyperlink" Id="rId53" Target="http://www.sciencedirect.com/science/article/B6VBC-4876F0J-7G/2/515ddab0f440a1187afe34a0747c359e " TargetMode="External" /><Relationship Type="http://schemas.openxmlformats.org/officeDocument/2006/relationships/hyperlink" Id="rId50" Target="https://doi.org/10.1007/s10816-015-9272-9" TargetMode="External" /><Relationship Type="http://schemas.openxmlformats.org/officeDocument/2006/relationships/hyperlink" Id="rId52" Target="https://doi.org/10.2110/jsr.2005.079" TargetMode="External" /><Relationship Type="http://schemas.openxmlformats.org/officeDocument/2006/relationships/hyperlink" Id="rId45" Target="https://doi.org/http://dx.doi.org/10.1016/S0277-3791(01)00058-0" TargetMode="External" /><Relationship Type="http://schemas.openxmlformats.org/officeDocument/2006/relationships/hyperlink" Id="rId49" Target="https://doi.org/http://dx.doi.org/10.1016/j.jas.2005.10.014" TargetMode="External" /><Relationship Type="http://schemas.openxmlformats.org/officeDocument/2006/relationships/hyperlink" Id="rId48" Target="https://doi.org/http://dx.doi.org/10.1016/j.jas.2008.06.011" TargetMode="External" /><Relationship Type="http://schemas.openxmlformats.org/officeDocument/2006/relationships/hyperlink" Id="rId43" Target="https://doi.org/http://dx.doi.org/10.1016/j.jas.2011.08.036" TargetMode="External" /><Relationship Type="http://schemas.openxmlformats.org/officeDocument/2006/relationships/hyperlink" Id="rId46" Target="https://doi.org/http://dx.doi.org/10.1016/j.jhevol.2015.03.0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Madjebebe sediments</dc:title>
  <dc:creator>Ben Marwick; Elspeth Hayes; Chris Clarkson; Richard Fullagar</dc:creator>
  <dcterms:created xsi:type="dcterms:W3CDTF">2016-08-03</dcterms:created>
  <dcterms:modified xsi:type="dcterms:W3CDTF">2016-08-03</dcterms:modified>
</cp:coreProperties>
</file>